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OLE_LINK5"/>
      <w:bookmarkStart w:id="1" w:name="OLE_LINK6"/>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R4-200005</w:t>
      </w:r>
      <w:r>
        <w:rPr>
          <w:rFonts w:hint="eastAsia" w:ascii="Arial" w:hAnsi="Arial" w:eastAsia="宋体" w:cs="Times New Roman"/>
          <w:b/>
          <w:bCs/>
          <w:sz w:val="24"/>
          <w:szCs w:val="24"/>
          <w:lang w:val="en-US" w:eastAsia="zh-CN"/>
        </w:rPr>
        <w:t>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bookmarkStart w:id="3" w:name="_GoBack"/>
      <w:bookmarkEnd w:id="3"/>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 xml:space="preserve">Discussion on </w:t>
      </w:r>
      <w:r>
        <w:rPr>
          <w:rFonts w:hint="eastAsia" w:ascii="Arial" w:hAnsi="Arial" w:eastAsia="宋体" w:cs="Arial"/>
          <w:b/>
          <w:bCs/>
          <w:sz w:val="24"/>
          <w:lang w:val="en-US" w:eastAsia="zh-CN"/>
        </w:rPr>
        <w:t>P</w:t>
      </w:r>
      <w:r>
        <w:rPr>
          <w:rFonts w:hint="eastAsia" w:ascii="Arial" w:hAnsi="Arial" w:eastAsia="Calibri" w:cs="Arial"/>
          <w:b/>
          <w:bCs/>
          <w:sz w:val="24"/>
          <w:lang w:val="en-GB"/>
        </w:rPr>
        <w:t xml:space="preserve">SCell </w:t>
      </w:r>
      <w:r>
        <w:rPr>
          <w:rFonts w:hint="eastAsia" w:ascii="Arial" w:hAnsi="Arial" w:eastAsia="宋体" w:cs="Arial"/>
          <w:b/>
          <w:bCs/>
          <w:sz w:val="24"/>
          <w:lang w:val="en-US" w:eastAsia="zh-CN"/>
        </w:rPr>
        <w:t>addition</w:t>
      </w:r>
      <w:r>
        <w:rPr>
          <w:rFonts w:hint="eastAsia" w:ascii="Arial" w:hAnsi="Arial" w:eastAsia="Calibri" w:cs="Arial"/>
          <w:b/>
          <w:bCs/>
          <w:sz w:val="24"/>
          <w:lang w:val="en-GB"/>
        </w:rPr>
        <w:t xml:space="preserve"> delay in NR-U</w:t>
      </w:r>
      <w:bookmarkEnd w:id="2"/>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8.1.4.5</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93, one of the open issues remain on PSCell addition / release delay for NR-U is whether to extend the period for the known condition of target cells</w:t>
      </w:r>
      <w:r>
        <w:rPr>
          <w:sz w:val="22"/>
          <w:szCs w:val="22"/>
        </w:rPr>
        <w:t>.</w:t>
      </w:r>
      <w:r>
        <w:rPr>
          <w:rFonts w:hint="eastAsia" w:eastAsia="宋体"/>
          <w:sz w:val="22"/>
          <w:szCs w:val="22"/>
          <w:lang w:val="en-US" w:eastAsia="zh-CN"/>
        </w:rPr>
        <w:t xml:space="preserve"> The known condition for a target cell in Rel-15 is copied below:</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default"/>
                <w:sz w:val="22"/>
                <w:szCs w:val="22"/>
                <w:lang w:eastAsia="ko-KR"/>
              </w:rPr>
            </w:pPr>
            <w:r>
              <w:rPr>
                <w:rFonts w:hint="default" w:cs="v4.2.0"/>
                <w:sz w:val="22"/>
                <w:szCs w:val="22"/>
                <w:lang w:eastAsia="zh-CN"/>
              </w:rPr>
              <w:t>In FR1 and FR2, the PSC</w:t>
            </w:r>
            <w:r>
              <w:rPr>
                <w:rFonts w:hint="default" w:cs="v4.2.0"/>
                <w:sz w:val="22"/>
                <w:szCs w:val="22"/>
                <w:lang w:eastAsia="ko-KR"/>
              </w:rPr>
              <w:t xml:space="preserve">ell is known if it </w:t>
            </w:r>
            <w:r>
              <w:rPr>
                <w:rFonts w:hint="default"/>
                <w:sz w:val="22"/>
                <w:szCs w:val="22"/>
                <w:lang w:eastAsia="ko-KR"/>
              </w:rPr>
              <w:t>has been meeting the following conditions:</w:t>
            </w:r>
          </w:p>
          <w:p>
            <w:pPr>
              <w:keepNext w:val="0"/>
              <w:keepLines w:val="0"/>
              <w:widowControl/>
              <w:suppressLineNumbers w:val="0"/>
              <w:overflowPunct w:val="0"/>
              <w:autoSpaceDE w:val="0"/>
              <w:autoSpaceDN w:val="0"/>
              <w:adjustRightInd w:val="0"/>
              <w:spacing w:before="0" w:beforeAutospacing="0" w:afterAutospacing="0"/>
              <w:ind w:left="568" w:right="0" w:hanging="284"/>
              <w:textAlignment w:val="baseline"/>
              <w:rPr>
                <w:rFonts w:hint="default"/>
                <w:sz w:val="22"/>
                <w:szCs w:val="22"/>
                <w:lang w:eastAsia="ko-KR"/>
              </w:rPr>
            </w:pPr>
            <w:r>
              <w:rPr>
                <w:rFonts w:hint="default"/>
                <w:sz w:val="22"/>
                <w:szCs w:val="22"/>
                <w:lang w:eastAsia="ko-KR"/>
              </w:rPr>
              <w:t>During the last 5</w:t>
            </w:r>
            <w:r>
              <w:rPr>
                <w:rFonts w:hint="eastAsia"/>
                <w:sz w:val="22"/>
                <w:szCs w:val="22"/>
                <w:lang w:eastAsia="ko-KR"/>
              </w:rPr>
              <w:t xml:space="preserve"> seconds</w:t>
            </w:r>
            <w:r>
              <w:rPr>
                <w:rFonts w:hint="default"/>
                <w:sz w:val="22"/>
                <w:szCs w:val="22"/>
                <w:lang w:eastAsia="ko-KR"/>
              </w:rPr>
              <w:t xml:space="preserve"> before the reception of the </w:t>
            </w:r>
            <w:r>
              <w:rPr>
                <w:rFonts w:hint="eastAsia"/>
                <w:sz w:val="22"/>
                <w:szCs w:val="22"/>
                <w:lang w:eastAsia="zh-CN"/>
              </w:rPr>
              <w:t>P</w:t>
            </w:r>
            <w:r>
              <w:rPr>
                <w:rFonts w:hint="default"/>
                <w:sz w:val="22"/>
                <w:szCs w:val="22"/>
                <w:lang w:eastAsia="ko-KR"/>
              </w:rPr>
              <w:t xml:space="preserve">SCell </w:t>
            </w:r>
            <w:r>
              <w:rPr>
                <w:rFonts w:hint="eastAsia"/>
                <w:sz w:val="22"/>
                <w:szCs w:val="22"/>
                <w:lang w:eastAsia="zh-CN"/>
              </w:rPr>
              <w:t>configuration</w:t>
            </w:r>
            <w:r>
              <w:rPr>
                <w:rFonts w:hint="default"/>
                <w:sz w:val="22"/>
                <w:szCs w:val="22"/>
                <w:lang w:eastAsia="ko-KR"/>
              </w:rPr>
              <w:t xml:space="preserve"> command:</w:t>
            </w:r>
          </w:p>
          <w:p>
            <w:pPr>
              <w:keepNext w:val="0"/>
              <w:keepLines w:val="0"/>
              <w:widowControl/>
              <w:suppressLineNumbers w:val="0"/>
              <w:overflowPunct w:val="0"/>
              <w:autoSpaceDE w:val="0"/>
              <w:autoSpaceDN w:val="0"/>
              <w:adjustRightInd w:val="0"/>
              <w:spacing w:before="0" w:beforeAutospacing="0" w:afterAutospacing="0"/>
              <w:ind w:left="851" w:right="0" w:hanging="284"/>
              <w:textAlignment w:val="baseline"/>
              <w:rPr>
                <w:rFonts w:hint="default"/>
                <w:sz w:val="22"/>
                <w:szCs w:val="22"/>
                <w:lang w:eastAsia="ko-KR"/>
              </w:rPr>
            </w:pPr>
            <w:r>
              <w:rPr>
                <w:rFonts w:hint="default"/>
                <w:sz w:val="22"/>
                <w:szCs w:val="22"/>
                <w:lang w:eastAsia="ko-KR"/>
              </w:rPr>
              <w:t>-</w:t>
            </w:r>
            <w:r>
              <w:rPr>
                <w:rFonts w:hint="default"/>
                <w:sz w:val="22"/>
                <w:szCs w:val="22"/>
                <w:lang w:eastAsia="ko-KR"/>
              </w:rPr>
              <w:tab/>
            </w:r>
            <w:r>
              <w:rPr>
                <w:rFonts w:hint="default"/>
                <w:sz w:val="22"/>
                <w:szCs w:val="22"/>
                <w:lang w:eastAsia="ko-KR"/>
              </w:rPr>
              <w:t xml:space="preserve">the UE has sent a valid measurement report for the </w:t>
            </w:r>
            <w:r>
              <w:rPr>
                <w:rFonts w:hint="default"/>
                <w:sz w:val="22"/>
                <w:szCs w:val="22"/>
                <w:lang w:eastAsia="zh-CN"/>
              </w:rPr>
              <w:t>P</w:t>
            </w:r>
            <w:r>
              <w:rPr>
                <w:rFonts w:hint="default"/>
                <w:sz w:val="22"/>
                <w:szCs w:val="22"/>
                <w:lang w:eastAsia="ko-KR"/>
              </w:rPr>
              <w:t xml:space="preserve">SCell being </w:t>
            </w:r>
            <w:r>
              <w:rPr>
                <w:rFonts w:hint="default"/>
                <w:sz w:val="22"/>
                <w:szCs w:val="22"/>
                <w:lang w:eastAsia="zh-CN"/>
              </w:rPr>
              <w:t>configured</w:t>
            </w:r>
            <w:r>
              <w:rPr>
                <w:rFonts w:hint="default"/>
                <w:sz w:val="22"/>
                <w:szCs w:val="22"/>
                <w:lang w:eastAsia="ko-KR"/>
              </w:rPr>
              <w:t xml:space="preserve"> and</w:t>
            </w:r>
          </w:p>
          <w:p>
            <w:pPr>
              <w:keepNext w:val="0"/>
              <w:keepLines w:val="0"/>
              <w:widowControl/>
              <w:suppressLineNumbers w:val="0"/>
              <w:overflowPunct w:val="0"/>
              <w:autoSpaceDE w:val="0"/>
              <w:autoSpaceDN w:val="0"/>
              <w:adjustRightInd w:val="0"/>
              <w:spacing w:before="0" w:beforeAutospacing="0" w:afterAutospacing="0"/>
              <w:ind w:left="851" w:right="0" w:hanging="284"/>
              <w:textAlignment w:val="baseline"/>
              <w:rPr>
                <w:rFonts w:hint="default"/>
                <w:sz w:val="22"/>
                <w:szCs w:val="22"/>
                <w:lang w:eastAsia="ko-KR"/>
              </w:rPr>
            </w:pPr>
            <w:r>
              <w:rPr>
                <w:rFonts w:hint="default"/>
                <w:sz w:val="22"/>
                <w:szCs w:val="22"/>
                <w:lang w:eastAsia="ko-KR"/>
              </w:rPr>
              <w:t>-</w:t>
            </w:r>
            <w:r>
              <w:rPr>
                <w:rFonts w:hint="default"/>
                <w:sz w:val="22"/>
                <w:szCs w:val="22"/>
                <w:lang w:eastAsia="ko-KR"/>
              </w:rPr>
              <w:tab/>
            </w:r>
            <w:r>
              <w:rPr>
                <w:rFonts w:hint="default"/>
                <w:sz w:val="22"/>
                <w:szCs w:val="22"/>
                <w:lang w:eastAsia="ko-KR"/>
              </w:rPr>
              <w:t xml:space="preserve">One of the SSBs measured from the </w:t>
            </w:r>
            <w:r>
              <w:rPr>
                <w:rFonts w:hint="default"/>
                <w:sz w:val="22"/>
                <w:szCs w:val="22"/>
                <w:lang w:eastAsia="zh-CN"/>
              </w:rPr>
              <w:t>P</w:t>
            </w:r>
            <w:r>
              <w:rPr>
                <w:rFonts w:hint="default"/>
                <w:sz w:val="22"/>
                <w:szCs w:val="22"/>
                <w:lang w:eastAsia="ko-KR"/>
              </w:rPr>
              <w:t xml:space="preserve">SCell being </w:t>
            </w:r>
            <w:r>
              <w:rPr>
                <w:rFonts w:hint="default"/>
                <w:sz w:val="22"/>
                <w:szCs w:val="22"/>
                <w:lang w:eastAsia="zh-CN"/>
              </w:rPr>
              <w:t>configured</w:t>
            </w:r>
            <w:r>
              <w:rPr>
                <w:rFonts w:hint="default"/>
                <w:sz w:val="22"/>
                <w:szCs w:val="22"/>
                <w:lang w:eastAsia="ko-KR"/>
              </w:rPr>
              <w:t xml:space="preserve"> remains detectable according to the cell identification conditions specified in clause </w:t>
            </w:r>
            <w:r>
              <w:rPr>
                <w:rFonts w:hint="eastAsia" w:eastAsia="Malgun Gothic"/>
                <w:sz w:val="22"/>
                <w:szCs w:val="22"/>
                <w:lang w:eastAsia="zh-CN"/>
              </w:rPr>
              <w:t>9.3</w:t>
            </w:r>
            <w:r>
              <w:rPr>
                <w:rFonts w:hint="default"/>
                <w:sz w:val="22"/>
                <w:szCs w:val="22"/>
                <w:lang w:eastAsia="ko-KR"/>
              </w:rPr>
              <w:t>.</w:t>
            </w:r>
          </w:p>
          <w:p>
            <w:pPr>
              <w:keepNext w:val="0"/>
              <w:keepLines w:val="0"/>
              <w:widowControl/>
              <w:suppressLineNumbers w:val="0"/>
              <w:overflowPunct w:val="0"/>
              <w:autoSpaceDE w:val="0"/>
              <w:autoSpaceDN w:val="0"/>
              <w:adjustRightInd w:val="0"/>
              <w:spacing w:before="0" w:beforeAutospacing="0" w:afterAutospacing="0"/>
              <w:ind w:left="568" w:right="0" w:hanging="284"/>
              <w:textAlignment w:val="baseline"/>
              <w:rPr>
                <w:rFonts w:hint="default"/>
                <w:sz w:val="22"/>
                <w:szCs w:val="22"/>
                <w:lang w:eastAsia="ko-KR"/>
              </w:rPr>
            </w:pPr>
            <w:r>
              <w:rPr>
                <w:rFonts w:hint="default"/>
                <w:sz w:val="22"/>
                <w:szCs w:val="22"/>
                <w:lang w:eastAsia="ko-KR"/>
              </w:rPr>
              <w:t>-</w:t>
            </w:r>
            <w:r>
              <w:rPr>
                <w:rFonts w:hint="default"/>
                <w:sz w:val="22"/>
                <w:szCs w:val="22"/>
                <w:lang w:eastAsia="ko-KR"/>
              </w:rPr>
              <w:tab/>
            </w:r>
            <w:r>
              <w:rPr>
                <w:rFonts w:hint="default"/>
                <w:sz w:val="22"/>
                <w:szCs w:val="22"/>
                <w:lang w:eastAsia="ko-KR"/>
              </w:rPr>
              <w:t xml:space="preserve">One of the SSBs measured from </w:t>
            </w:r>
            <w:r>
              <w:rPr>
                <w:rFonts w:hint="default"/>
                <w:sz w:val="22"/>
                <w:szCs w:val="22"/>
                <w:lang w:eastAsia="zh-CN"/>
              </w:rPr>
              <w:t>P</w:t>
            </w:r>
            <w:r>
              <w:rPr>
                <w:rFonts w:hint="default"/>
                <w:sz w:val="22"/>
                <w:szCs w:val="22"/>
                <w:lang w:eastAsia="ko-KR"/>
              </w:rPr>
              <w:t xml:space="preserve">SCell being </w:t>
            </w:r>
            <w:r>
              <w:rPr>
                <w:rFonts w:hint="default"/>
                <w:sz w:val="22"/>
                <w:szCs w:val="22"/>
                <w:lang w:eastAsia="zh-CN"/>
              </w:rPr>
              <w:t>configured</w:t>
            </w:r>
            <w:r>
              <w:rPr>
                <w:rFonts w:hint="default"/>
                <w:sz w:val="22"/>
                <w:szCs w:val="22"/>
                <w:lang w:eastAsia="ko-KR"/>
              </w:rPr>
              <w:t xml:space="preserve"> also remains detectable during the </w:t>
            </w:r>
            <w:r>
              <w:rPr>
                <w:rFonts w:hint="default"/>
                <w:sz w:val="22"/>
                <w:szCs w:val="22"/>
                <w:lang w:eastAsia="zh-CN"/>
              </w:rPr>
              <w:t>P</w:t>
            </w:r>
            <w:r>
              <w:rPr>
                <w:rFonts w:hint="default"/>
                <w:sz w:val="22"/>
                <w:szCs w:val="22"/>
                <w:lang w:eastAsia="ko-KR"/>
              </w:rPr>
              <w:t xml:space="preserve">SCell </w:t>
            </w:r>
            <w:r>
              <w:rPr>
                <w:rFonts w:hint="default"/>
                <w:sz w:val="22"/>
                <w:szCs w:val="22"/>
                <w:lang w:eastAsia="zh-CN"/>
              </w:rPr>
              <w:t>configuration</w:t>
            </w:r>
            <w:r>
              <w:rPr>
                <w:rFonts w:hint="default"/>
                <w:sz w:val="22"/>
                <w:szCs w:val="22"/>
                <w:lang w:eastAsia="ko-KR"/>
              </w:rPr>
              <w:t xml:space="preserve"> delay </w:t>
            </w:r>
            <w:r>
              <w:rPr>
                <w:rFonts w:hint="default"/>
                <w:sz w:val="22"/>
                <w:szCs w:val="22"/>
              </w:rPr>
              <w:t>T</w:t>
            </w:r>
            <w:r>
              <w:rPr>
                <w:rFonts w:hint="default"/>
                <w:sz w:val="22"/>
                <w:szCs w:val="22"/>
                <w:vertAlign w:val="subscript"/>
              </w:rPr>
              <w:t>config_PSCell</w:t>
            </w:r>
            <w:r>
              <w:rPr>
                <w:rFonts w:hint="default"/>
                <w:sz w:val="22"/>
                <w:szCs w:val="22"/>
                <w:lang w:eastAsia="ko-KR"/>
              </w:rPr>
              <w:t xml:space="preserve"> according to the cell identification conditions specified in clause 9.3.</w:t>
            </w:r>
          </w:p>
          <w:p>
            <w:pPr>
              <w:keepNext w:val="0"/>
              <w:keepLines w:val="0"/>
              <w:widowControl/>
              <w:suppressLineNumbers w:val="0"/>
              <w:spacing w:before="0" w:beforeAutospacing="0" w:afterAutospacing="0"/>
              <w:ind w:left="0" w:right="0"/>
              <w:rPr>
                <w:rFonts w:hint="default" w:eastAsia="宋体"/>
                <w:sz w:val="22"/>
                <w:szCs w:val="22"/>
                <w:vertAlign w:val="baseline"/>
                <w:lang w:val="en-US" w:eastAsia="zh-CN"/>
              </w:rPr>
            </w:pPr>
            <w:r>
              <w:rPr>
                <w:rFonts w:hint="default"/>
                <w:sz w:val="22"/>
                <w:szCs w:val="22"/>
                <w:lang w:eastAsia="ko-KR"/>
              </w:rPr>
              <w:t>otherwise it is unknown.</w:t>
            </w:r>
          </w:p>
        </w:tc>
      </w:tr>
    </w:tbl>
    <w:p>
      <w:pPr>
        <w:overflowPunct w:val="0"/>
        <w:autoSpaceDE w:val="0"/>
        <w:autoSpaceDN w:val="0"/>
        <w:adjustRightInd w:val="0"/>
        <w:spacing w:after="0" w:line="240" w:lineRule="auto"/>
        <w:jc w:val="both"/>
        <w:rPr>
          <w:rFonts w:hint="eastAsia" w:eastAsia="宋体"/>
          <w:sz w:val="22"/>
          <w:szCs w:val="22"/>
          <w:lang w:eastAsia="zh-CN"/>
        </w:rPr>
      </w:pP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Condition for known cell</w:t>
      </w:r>
    </w:p>
    <w:p>
      <w:pPr>
        <w:pStyle w:val="40"/>
        <w:numPr>
          <w:ilvl w:val="0"/>
          <w:numId w:val="0"/>
        </w:numPr>
        <w:rPr>
          <w:rFonts w:hint="default" w:eastAsia="宋体"/>
          <w:lang w:val="en-US" w:eastAsia="zh-CN"/>
        </w:rPr>
      </w:pPr>
      <w:r>
        <w:rPr>
          <w:rFonts w:hint="eastAsia" w:eastAsia="宋体"/>
          <w:lang w:val="en-US" w:eastAsia="zh-CN"/>
        </w:rPr>
        <w:t>In RAN4 93 [1], it</w:t>
      </w:r>
      <w:r>
        <w:rPr>
          <w:rFonts w:hint="default" w:eastAsia="宋体"/>
          <w:lang w:val="en-US" w:eastAsia="zh-CN"/>
        </w:rPr>
        <w:t>’</w:t>
      </w:r>
      <w:r>
        <w:rPr>
          <w:rFonts w:hint="eastAsia" w:eastAsia="宋体"/>
          <w:lang w:val="en-US" w:eastAsia="zh-CN"/>
        </w:rPr>
        <w:t>s agreed that the following two options need to be further investigated.</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spacing w:before="0" w:beforeAutospacing="0" w:afterAutospacing="0"/>
              <w:ind w:left="0" w:right="0"/>
              <w:rPr>
                <w:rFonts w:hint="default"/>
                <w:sz w:val="20"/>
                <w:vertAlign w:val="baseline"/>
                <w:lang w:val="en-US" w:eastAsia="zh-CN"/>
              </w:rPr>
            </w:pPr>
            <w:r>
              <w:rPr>
                <w:rFonts w:hint="default"/>
                <w:sz w:val="20"/>
              </w:rPr>
              <w:drawing>
                <wp:inline distT="0" distB="0" distL="114300" distR="114300">
                  <wp:extent cx="5620385" cy="1322705"/>
                  <wp:effectExtent l="0" t="0" r="184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620385" cy="1322705"/>
                          </a:xfrm>
                          <a:prstGeom prst="rect">
                            <a:avLst/>
                          </a:prstGeom>
                          <a:noFill/>
                          <a:ln>
                            <a:noFill/>
                          </a:ln>
                        </pic:spPr>
                      </pic:pic>
                    </a:graphicData>
                  </a:graphic>
                </wp:inline>
              </w:drawing>
            </w:r>
          </w:p>
        </w:tc>
      </w:tr>
    </w:tbl>
    <w:p>
      <w:pPr>
        <w:rPr>
          <w:rFonts w:hint="eastAsia" w:eastAsia="宋体" w:cs="Times New Roman"/>
          <w:sz w:val="22"/>
          <w:szCs w:val="20"/>
          <w:lang w:val="en-US" w:eastAsia="zh-CN" w:bidi="ar-SA"/>
        </w:rPr>
      </w:pPr>
      <w:r>
        <w:rPr>
          <w:rFonts w:hint="eastAsia" w:ascii="Times New Roman" w:hAnsi="Times New Roman" w:eastAsia="宋体" w:cs="Times New Roman"/>
          <w:sz w:val="22"/>
          <w:szCs w:val="20"/>
          <w:lang w:val="en-US" w:eastAsia="zh-CN" w:bidi="ar-SA"/>
        </w:rPr>
        <w:t>In our view</w:t>
      </w:r>
      <w:r>
        <w:rPr>
          <w:rFonts w:hint="eastAsia" w:eastAsia="宋体" w:cs="Times New Roman"/>
          <w:sz w:val="22"/>
          <w:szCs w:val="20"/>
          <w:lang w:val="en-US" w:eastAsia="zh-CN" w:bidi="ar-SA"/>
        </w:rPr>
        <w:t>, when adapting the current R15 requirements to the changes introduced by NR-U, the baseline should be that when the channel occupancy is low enough, e.g., no other RAT or UE is currently using the same band to communicate, the R16 requirements under NR-U should be the same as R15 requirements. In some other requirements, the time period is extended by counting unavailable SSBs at the UE, which means when all SSBs are available, the requirement for NR-U is exactly the same with R15 requirements. This makes sense to us because the added occasions is intended to count for the number of SSBs (or other DRS) which are not available due to LBT, which is a new feature compared to R15. Thus, by adding those signal occasions, the essential requirement should remain the same with R15 requirements.</w:t>
      </w:r>
    </w:p>
    <w:p>
      <w:pPr>
        <w:rPr>
          <w:rFonts w:hint="default" w:eastAsia="宋体" w:cs="Times New Roman"/>
          <w:sz w:val="22"/>
          <w:szCs w:val="20"/>
          <w:lang w:val="en-US" w:eastAsia="zh-CN" w:bidi="ar-SA"/>
        </w:rPr>
      </w:pPr>
      <w:r>
        <w:rPr>
          <w:rFonts w:hint="eastAsia" w:eastAsia="宋体" w:cs="Times New Roman"/>
          <w:sz w:val="22"/>
          <w:szCs w:val="20"/>
          <w:lang w:val="en-US" w:eastAsia="zh-CN" w:bidi="ar-SA"/>
        </w:rPr>
        <w:t>Based on this reason, generally, we don</w:t>
      </w:r>
      <w:r>
        <w:rPr>
          <w:rFonts w:hint="default" w:eastAsia="宋体" w:cs="Times New Roman"/>
          <w:sz w:val="22"/>
          <w:szCs w:val="20"/>
          <w:lang w:val="en-US" w:eastAsia="zh-CN" w:bidi="ar-SA"/>
        </w:rPr>
        <w:t>’</w:t>
      </w:r>
      <w:r>
        <w:rPr>
          <w:rFonts w:hint="eastAsia" w:eastAsia="宋体" w:cs="Times New Roman"/>
          <w:sz w:val="22"/>
          <w:szCs w:val="20"/>
          <w:lang w:val="en-US" w:eastAsia="zh-CN" w:bidi="ar-SA"/>
        </w:rPr>
        <w:t>t think extending the time period by a fixed number would be of great help to address the impact of LBT failures.</w:t>
      </w:r>
    </w:p>
    <w:p>
      <w:pPr>
        <w:pStyle w:val="36"/>
        <w:rPr>
          <w:sz w:val="22"/>
          <w:szCs w:val="22"/>
          <w:lang w:eastAsia="zh-CN"/>
        </w:rPr>
      </w:pPr>
      <w:r>
        <w:rPr>
          <w:rFonts w:hint="eastAsia"/>
          <w:sz w:val="22"/>
          <w:szCs w:val="22"/>
          <w:lang w:val="en-US" w:eastAsia="zh-CN"/>
        </w:rPr>
        <w:t>Do not extend the time period in the known condition for the target PSCell under NR-U</w:t>
      </w:r>
      <w:r>
        <w:rPr>
          <w:sz w:val="22"/>
          <w:szCs w:val="22"/>
          <w:lang w:eastAsia="zh-CN"/>
        </w:rPr>
        <w:t>.</w:t>
      </w:r>
    </w:p>
    <w:p>
      <w:pPr>
        <w:pStyle w:val="28"/>
        <w:jc w:val="both"/>
      </w:pPr>
      <w:r>
        <w:rPr>
          <w:rFonts w:hint="eastAsia"/>
          <w:lang w:val="en-US" w:eastAsia="zh-CN"/>
        </w:rPr>
        <w:t>3</w:t>
      </w:r>
      <w:r>
        <w:tab/>
      </w:r>
      <w:r>
        <w:t>Conclusion</w:t>
      </w:r>
    </w:p>
    <w:p>
      <w:pPr>
        <w:pStyle w:val="36"/>
        <w:numPr>
          <w:ilvl w:val="0"/>
          <w:numId w:val="0"/>
        </w:numPr>
        <w:rPr>
          <w:sz w:val="22"/>
          <w:szCs w:val="22"/>
          <w:lang w:eastAsia="zh-CN"/>
        </w:rPr>
      </w:pPr>
      <w:r>
        <w:rPr>
          <w:rFonts w:hint="eastAsia"/>
          <w:sz w:val="22"/>
          <w:szCs w:val="22"/>
          <w:lang w:eastAsia="zh-CN"/>
        </w:rPr>
        <w:t xml:space="preserve">Proposal 1: </w:t>
      </w:r>
      <w:r>
        <w:rPr>
          <w:rFonts w:hint="eastAsia"/>
          <w:sz w:val="22"/>
          <w:szCs w:val="22"/>
          <w:lang w:val="en-US" w:eastAsia="zh-CN"/>
        </w:rPr>
        <w:t>Do not extend the time period in the known condition for the target PSCell under NR-U</w:t>
      </w:r>
      <w:r>
        <w:rPr>
          <w:sz w:val="22"/>
          <w:szCs w:val="22"/>
          <w:lang w:eastAsia="zh-CN"/>
        </w:rPr>
        <w:t>.</w:t>
      </w:r>
    </w:p>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w:t>
      </w:r>
      <w:r>
        <w:rPr>
          <w:rFonts w:hint="eastAsia" w:eastAsia="宋体"/>
          <w:lang w:val="en-US" w:eastAsia="zh-CN"/>
        </w:rPr>
        <w:t>4-1915777, WF on NR-U RRM Requirements</w:t>
      </w:r>
    </w:p>
    <w:p>
      <w:pPr>
        <w:numPr>
          <w:ilvl w:val="0"/>
          <w:numId w:val="6"/>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720"/>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4D658C"/>
    <w:rsid w:val="04C77D0A"/>
    <w:rsid w:val="04D5204C"/>
    <w:rsid w:val="05084359"/>
    <w:rsid w:val="059B61E4"/>
    <w:rsid w:val="05A86143"/>
    <w:rsid w:val="06105DAC"/>
    <w:rsid w:val="069766CC"/>
    <w:rsid w:val="07502CA2"/>
    <w:rsid w:val="078B76F8"/>
    <w:rsid w:val="079D410C"/>
    <w:rsid w:val="08641205"/>
    <w:rsid w:val="08935729"/>
    <w:rsid w:val="08AC4FE1"/>
    <w:rsid w:val="08C654D4"/>
    <w:rsid w:val="08CC5D10"/>
    <w:rsid w:val="09484892"/>
    <w:rsid w:val="099F556C"/>
    <w:rsid w:val="09DC5D73"/>
    <w:rsid w:val="0A182C8A"/>
    <w:rsid w:val="0A5763D4"/>
    <w:rsid w:val="0A7BF868"/>
    <w:rsid w:val="0B7322DC"/>
    <w:rsid w:val="0BB77882"/>
    <w:rsid w:val="0C56263C"/>
    <w:rsid w:val="0C5E2B8A"/>
    <w:rsid w:val="0C8D68CC"/>
    <w:rsid w:val="0DF104D3"/>
    <w:rsid w:val="0ED138E6"/>
    <w:rsid w:val="0F220CA0"/>
    <w:rsid w:val="0F67780F"/>
    <w:rsid w:val="0FB648CB"/>
    <w:rsid w:val="0FD0731A"/>
    <w:rsid w:val="0FEE7772"/>
    <w:rsid w:val="0FF1533A"/>
    <w:rsid w:val="0FFE0AFA"/>
    <w:rsid w:val="10AA3C13"/>
    <w:rsid w:val="10CD0B75"/>
    <w:rsid w:val="110C4B64"/>
    <w:rsid w:val="110C4D24"/>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E76E97"/>
    <w:rsid w:val="164A1745"/>
    <w:rsid w:val="165D0583"/>
    <w:rsid w:val="16654289"/>
    <w:rsid w:val="16DB79C9"/>
    <w:rsid w:val="17141F2D"/>
    <w:rsid w:val="173D19D4"/>
    <w:rsid w:val="175141B9"/>
    <w:rsid w:val="17A62BCE"/>
    <w:rsid w:val="17E826AB"/>
    <w:rsid w:val="17FF0FDD"/>
    <w:rsid w:val="181B7650"/>
    <w:rsid w:val="18D3414F"/>
    <w:rsid w:val="18D91924"/>
    <w:rsid w:val="1A0B3A21"/>
    <w:rsid w:val="1A9E1F80"/>
    <w:rsid w:val="1B3329B5"/>
    <w:rsid w:val="1B6237C1"/>
    <w:rsid w:val="1B7F155B"/>
    <w:rsid w:val="1BA53662"/>
    <w:rsid w:val="1D1F1294"/>
    <w:rsid w:val="1D21202E"/>
    <w:rsid w:val="1E8806BC"/>
    <w:rsid w:val="1EA137E3"/>
    <w:rsid w:val="1ED222E4"/>
    <w:rsid w:val="1F0936F5"/>
    <w:rsid w:val="1F17474D"/>
    <w:rsid w:val="1F711839"/>
    <w:rsid w:val="1FEF0C19"/>
    <w:rsid w:val="200D067C"/>
    <w:rsid w:val="20811B82"/>
    <w:rsid w:val="209869EC"/>
    <w:rsid w:val="20A662B2"/>
    <w:rsid w:val="211451D0"/>
    <w:rsid w:val="2151075A"/>
    <w:rsid w:val="219E74A3"/>
    <w:rsid w:val="21A36D27"/>
    <w:rsid w:val="22571B82"/>
    <w:rsid w:val="22C0245E"/>
    <w:rsid w:val="23514077"/>
    <w:rsid w:val="23B20773"/>
    <w:rsid w:val="23CF6D67"/>
    <w:rsid w:val="248F188B"/>
    <w:rsid w:val="24E91488"/>
    <w:rsid w:val="25077EC5"/>
    <w:rsid w:val="25962669"/>
    <w:rsid w:val="25B4494A"/>
    <w:rsid w:val="25C20278"/>
    <w:rsid w:val="262D62D9"/>
    <w:rsid w:val="26681CAB"/>
    <w:rsid w:val="267E5FCE"/>
    <w:rsid w:val="27572E0B"/>
    <w:rsid w:val="280C272A"/>
    <w:rsid w:val="28173FA3"/>
    <w:rsid w:val="284E33F7"/>
    <w:rsid w:val="287A3770"/>
    <w:rsid w:val="28874F6E"/>
    <w:rsid w:val="293606FA"/>
    <w:rsid w:val="29517179"/>
    <w:rsid w:val="29E7086A"/>
    <w:rsid w:val="2A1219AD"/>
    <w:rsid w:val="2A394321"/>
    <w:rsid w:val="2A3D75B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17229F"/>
    <w:rsid w:val="31395268"/>
    <w:rsid w:val="31A50177"/>
    <w:rsid w:val="320F0A18"/>
    <w:rsid w:val="324554E5"/>
    <w:rsid w:val="325D2B5A"/>
    <w:rsid w:val="327661FC"/>
    <w:rsid w:val="32B33B5A"/>
    <w:rsid w:val="32EE27B2"/>
    <w:rsid w:val="33372789"/>
    <w:rsid w:val="33484A1E"/>
    <w:rsid w:val="335F47E9"/>
    <w:rsid w:val="34522D52"/>
    <w:rsid w:val="346E4104"/>
    <w:rsid w:val="3476470C"/>
    <w:rsid w:val="34D83C16"/>
    <w:rsid w:val="3509315E"/>
    <w:rsid w:val="351A4CC6"/>
    <w:rsid w:val="35D850E1"/>
    <w:rsid w:val="36C52BB2"/>
    <w:rsid w:val="36D83CAB"/>
    <w:rsid w:val="373B0ED4"/>
    <w:rsid w:val="37705F34"/>
    <w:rsid w:val="377700B0"/>
    <w:rsid w:val="37AF7036"/>
    <w:rsid w:val="380927B5"/>
    <w:rsid w:val="3876150B"/>
    <w:rsid w:val="392739EA"/>
    <w:rsid w:val="39341AC4"/>
    <w:rsid w:val="3946679B"/>
    <w:rsid w:val="39932CA1"/>
    <w:rsid w:val="399A43EA"/>
    <w:rsid w:val="3A0F1960"/>
    <w:rsid w:val="3A166029"/>
    <w:rsid w:val="3AF216E5"/>
    <w:rsid w:val="3B0D6FED"/>
    <w:rsid w:val="3B30671A"/>
    <w:rsid w:val="3B4C63FD"/>
    <w:rsid w:val="3B5662AC"/>
    <w:rsid w:val="3CCE203C"/>
    <w:rsid w:val="3D0C1655"/>
    <w:rsid w:val="3D77737D"/>
    <w:rsid w:val="3DC04E13"/>
    <w:rsid w:val="3DD244E7"/>
    <w:rsid w:val="3E5B41D6"/>
    <w:rsid w:val="3EAD208F"/>
    <w:rsid w:val="3ECE16FA"/>
    <w:rsid w:val="3FF55768"/>
    <w:rsid w:val="40566CBF"/>
    <w:rsid w:val="407921CE"/>
    <w:rsid w:val="40C04FE0"/>
    <w:rsid w:val="41A105B1"/>
    <w:rsid w:val="41AA7137"/>
    <w:rsid w:val="42381A71"/>
    <w:rsid w:val="426B0C9E"/>
    <w:rsid w:val="42841694"/>
    <w:rsid w:val="429266C7"/>
    <w:rsid w:val="42AF1322"/>
    <w:rsid w:val="42E73C10"/>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B84A21"/>
    <w:rsid w:val="48FA3778"/>
    <w:rsid w:val="49240337"/>
    <w:rsid w:val="49896512"/>
    <w:rsid w:val="4996414B"/>
    <w:rsid w:val="49BA3D71"/>
    <w:rsid w:val="4A017308"/>
    <w:rsid w:val="4AF26B9D"/>
    <w:rsid w:val="4B85087E"/>
    <w:rsid w:val="4BB65435"/>
    <w:rsid w:val="4BCE1489"/>
    <w:rsid w:val="4C331CC6"/>
    <w:rsid w:val="4C723787"/>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773E2A"/>
    <w:rsid w:val="51C53170"/>
    <w:rsid w:val="5280421D"/>
    <w:rsid w:val="52BF27F0"/>
    <w:rsid w:val="535E62F0"/>
    <w:rsid w:val="5361709F"/>
    <w:rsid w:val="53705401"/>
    <w:rsid w:val="53752E8D"/>
    <w:rsid w:val="540D782C"/>
    <w:rsid w:val="55362923"/>
    <w:rsid w:val="5553143F"/>
    <w:rsid w:val="55B42DC5"/>
    <w:rsid w:val="572C4710"/>
    <w:rsid w:val="586B2608"/>
    <w:rsid w:val="592D7AE2"/>
    <w:rsid w:val="593554F0"/>
    <w:rsid w:val="59840ED4"/>
    <w:rsid w:val="5A3078C5"/>
    <w:rsid w:val="5ADF3A74"/>
    <w:rsid w:val="5AE53367"/>
    <w:rsid w:val="5B0B0083"/>
    <w:rsid w:val="5BC3228B"/>
    <w:rsid w:val="5C3B1FEA"/>
    <w:rsid w:val="5D041ECD"/>
    <w:rsid w:val="5E2D4C21"/>
    <w:rsid w:val="5EE41E2E"/>
    <w:rsid w:val="5F0F00DA"/>
    <w:rsid w:val="60017F85"/>
    <w:rsid w:val="6038792D"/>
    <w:rsid w:val="6045086B"/>
    <w:rsid w:val="60745B63"/>
    <w:rsid w:val="60B937A9"/>
    <w:rsid w:val="61051332"/>
    <w:rsid w:val="618D3C04"/>
    <w:rsid w:val="62B7743E"/>
    <w:rsid w:val="64116858"/>
    <w:rsid w:val="648D5222"/>
    <w:rsid w:val="64B2258D"/>
    <w:rsid w:val="65C47369"/>
    <w:rsid w:val="65C64C37"/>
    <w:rsid w:val="66AB371C"/>
    <w:rsid w:val="66AE1192"/>
    <w:rsid w:val="66AE711E"/>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E504618"/>
    <w:rsid w:val="6EB20078"/>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67A39"/>
    <w:rsid w:val="72EE3608"/>
    <w:rsid w:val="72FC12C9"/>
    <w:rsid w:val="732F59FD"/>
    <w:rsid w:val="734B5574"/>
    <w:rsid w:val="7355417D"/>
    <w:rsid w:val="736C3FBB"/>
    <w:rsid w:val="74D53B99"/>
    <w:rsid w:val="75122532"/>
    <w:rsid w:val="75235732"/>
    <w:rsid w:val="754C1AAF"/>
    <w:rsid w:val="75973C7F"/>
    <w:rsid w:val="76D8737F"/>
    <w:rsid w:val="76DB158C"/>
    <w:rsid w:val="76E279D7"/>
    <w:rsid w:val="772E0626"/>
    <w:rsid w:val="7754709D"/>
    <w:rsid w:val="776E285A"/>
    <w:rsid w:val="77B02D8D"/>
    <w:rsid w:val="77C0093D"/>
    <w:rsid w:val="77C90B9C"/>
    <w:rsid w:val="784258BF"/>
    <w:rsid w:val="78E22C2B"/>
    <w:rsid w:val="7925298D"/>
    <w:rsid w:val="793758F2"/>
    <w:rsid w:val="7A6209BD"/>
    <w:rsid w:val="7A787ECB"/>
    <w:rsid w:val="7A8B51CB"/>
    <w:rsid w:val="7AB507FA"/>
    <w:rsid w:val="7AC634CB"/>
    <w:rsid w:val="7B06415A"/>
    <w:rsid w:val="7B970443"/>
    <w:rsid w:val="7C41564D"/>
    <w:rsid w:val="7CB561C0"/>
    <w:rsid w:val="7CCC277F"/>
    <w:rsid w:val="7CE3033A"/>
    <w:rsid w:val="7D081DB0"/>
    <w:rsid w:val="7D0A2590"/>
    <w:rsid w:val="7D550752"/>
    <w:rsid w:val="7D6A7A29"/>
    <w:rsid w:val="7DCC5A45"/>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
    <w:semiHidden/>
    <w:unhideWhenUsed/>
    <w:qFormat/>
    <w:uiPriority w:val="99"/>
    <w:pPr>
      <w:ind w:left="566" w:hanging="283"/>
      <w:contextualSpacing/>
    </w:pPr>
  </w:style>
  <w:style w:type="paragraph" w:styleId="11">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2">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rPr>
      <w:sz w:val="24"/>
    </w:r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批注框文本 字符"/>
    <w:basedOn w:val="17"/>
    <w:link w:val="11"/>
    <w:semiHidden/>
    <w:qFormat/>
    <w:uiPriority w:val="99"/>
    <w:rPr>
      <w:rFonts w:ascii="Segoe UI" w:hAnsi="Segoe UI" w:cs="Segoe UI"/>
      <w:sz w:val="18"/>
      <w:szCs w:val="18"/>
    </w:rPr>
  </w:style>
  <w:style w:type="character" w:customStyle="1" w:styleId="24">
    <w:name w:val="标题 2 字符"/>
    <w:basedOn w:val="17"/>
    <w:link w:val="3"/>
    <w:qFormat/>
    <w:uiPriority w:val="0"/>
    <w:rPr>
      <w:rFonts w:ascii="Arial" w:hAnsi="Arial" w:eastAsia="Times New Roman" w:cs="Times New Roman"/>
      <w:sz w:val="32"/>
      <w:szCs w:val="20"/>
      <w:lang w:val="en-GB"/>
    </w:rPr>
  </w:style>
  <w:style w:type="character" w:customStyle="1" w:styleId="25">
    <w:name w:val="标题 1 字符"/>
    <w:basedOn w:val="17"/>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7"/>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7"/>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8"/>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7"/>
    <w:link w:val="8"/>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7"/>
    <w:semiHidden/>
    <w:unhideWhenUsed/>
    <w:qFormat/>
    <w:uiPriority w:val="99"/>
    <w:rPr>
      <w:color w:val="808080"/>
      <w:shd w:val="clear" w:color="auto" w:fill="E6E6E6"/>
    </w:rPr>
  </w:style>
  <w:style w:type="character" w:customStyle="1" w:styleId="43">
    <w:name w:val="标题 4 字符"/>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7"/>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7"/>
    <w:link w:val="12"/>
    <w:semiHidden/>
    <w:qFormat/>
    <w:locked/>
    <w:uiPriority w:val="0"/>
    <w:rPr>
      <w:rFonts w:ascii="Tms Rmn" w:hAnsi="Tms Rmn"/>
      <w:b/>
      <w:sz w:val="18"/>
    </w:rPr>
  </w:style>
  <w:style w:type="character" w:customStyle="1" w:styleId="54">
    <w:name w:val="Header Char1"/>
    <w:basedOn w:val="17"/>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7"/>
    <w:link w:val="7"/>
    <w:semiHidden/>
    <w:qFormat/>
    <w:uiPriority w:val="99"/>
    <w:rPr>
      <w:rFonts w:ascii="Times New Roman" w:hAnsi="Times New Roman"/>
      <w:sz w:val="20"/>
      <w:szCs w:val="20"/>
    </w:rPr>
  </w:style>
  <w:style w:type="character" w:customStyle="1" w:styleId="58">
    <w:name w:val="批注主题 字符"/>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7"/>
    <w:link w:val="65"/>
    <w:qFormat/>
    <w:uiPriority w:val="0"/>
    <w:rPr>
      <w:rFonts w:hint="default" w:ascii="Arial" w:hAnsi="Arial" w:eastAsia="Times New Roman" w:cs="Arial"/>
      <w:sz w:val="18"/>
      <w:lang w:val="en-US"/>
    </w:rPr>
  </w:style>
  <w:style w:type="character" w:customStyle="1" w:styleId="68">
    <w:name w:val="TH Char"/>
    <w:basedOn w:val="17"/>
    <w:qFormat/>
    <w:uiPriority w:val="0"/>
    <w:rPr>
      <w:rFonts w:hint="default" w:ascii="Arial" w:hAnsi="Arial" w:eastAsia="Times New Roman" w:cs="Arial"/>
      <w:b/>
      <w:lang w:val="en-US"/>
    </w:rPr>
  </w:style>
  <w:style w:type="character" w:customStyle="1" w:styleId="69">
    <w:name w:val="TAH Car"/>
    <w:basedOn w:val="17"/>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159A7-E9D0-414E-8F00-668C05F5E06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2</TotalTime>
  <ScaleCrop>false</ScaleCrop>
  <LinksUpToDate>false</LinksUpToDate>
  <CharactersWithSpaces>3772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2020-02-10T10:14:42Z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